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2CAD" w:rsidRPr="00C71F3E" w:rsidRDefault="00BA2CAD" w:rsidP="00BA2CAD">
      <w:r w:rsidRPr="000137CA">
        <w:rPr>
          <w:b/>
          <w:bCs/>
        </w:rPr>
        <w:t>Historical Components of Archival Ethics and Methodologies</w:t>
      </w:r>
    </w:p>
    <w:p w:rsidR="00BA2CAD" w:rsidRDefault="00BA2CAD" w:rsidP="00BA2CAD">
      <w:r>
        <w:t xml:space="preserve">Brittany Lauren-Wheeler </w:t>
      </w:r>
    </w:p>
    <w:p w:rsidR="00BA2CAD" w:rsidRPr="00C71F3E" w:rsidRDefault="00BA2CAD" w:rsidP="00BA2CAD">
      <w:pPr>
        <w:rPr>
          <w:i/>
        </w:rPr>
      </w:pPr>
      <w:r w:rsidRPr="00C71F3E">
        <w:t xml:space="preserve">This year’s IASFM conference takes place at an institute of ethnography and cultural anthropology. As such, this paper considers the extant archive as a frequent institutional asset with anthropological or other disciplinary legacies. It is the extant archive to which much future archival material will be added; its historical content used both as an argument for new focus, and as the basis for certain material being highlighted for further public or professional access (including digitally). Before we can address questions such as whether a divide between ‘expert’ and ‘migrant’ knowledge persists in the documentation, preservation and research connected to the archive, for instance, we must come to terms with the vestiges of similar and dissimilar historic inequities that informed the creation of archives in their first instance. Such an investigation may provide some assistance in framing the ethical and methodological questions we can ask to help us build better archives concerning forced migration events, refugees, and also post-refugee lives. Ultimately this paper hopes to comment upon the temporality of archives as we consider the representation of lives impacted by forced migration: </w:t>
      </w:r>
      <w:r w:rsidRPr="00C71F3E">
        <w:rPr>
          <w:i/>
        </w:rPr>
        <w:t>During what time frame is material “pertinent” to forced migration events and refugee lives, and when might this pertinence end? When is it appropriate for those directly involved as opposed to those not directly involved in migration events to collect, organize, and comment upon archival material? What temporally-informed methodologies might we consider as we continue to build or re-fashion archives?</w:t>
      </w:r>
    </w:p>
    <w:p w:rsidR="00BA2CAD" w:rsidRDefault="00BA2CAD" w:rsidP="00BA2CAD">
      <w:r>
        <w:t>A</w:t>
      </w:r>
      <w:r w:rsidRPr="00C71F3E">
        <w:t>s an additional note</w:t>
      </w:r>
      <w:r>
        <w:t xml:space="preserve"> to what has been stated above,</w:t>
      </w:r>
      <w:r w:rsidRPr="00C71F3E">
        <w:t xml:space="preserve"> the impetus for the </w:t>
      </w:r>
      <w:r>
        <w:t>abstract</w:t>
      </w:r>
      <w:r w:rsidRPr="00C71F3E">
        <w:t xml:space="preserve"> is the anthropological museum archive</w:t>
      </w:r>
      <w:r>
        <w:t xml:space="preserve"> concerning indigenous people. </w:t>
      </w:r>
      <w:r w:rsidRPr="00C71F3E">
        <w:t>For instance</w:t>
      </w:r>
      <w:r>
        <w:t>,</w:t>
      </w:r>
      <w:r w:rsidRPr="00C71F3E">
        <w:t xml:space="preserve"> material on their restricted movements and livelihoods on reservations, often tied to the dispersal of their m</w:t>
      </w:r>
      <w:r>
        <w:t xml:space="preserve">aterial culture. While the ultimate focus of this paper is not just museum, </w:t>
      </w:r>
      <w:r w:rsidRPr="00C71F3E">
        <w:t>this would come int</w:t>
      </w:r>
      <w:r>
        <w:t>o play to some degree in the discussion</w:t>
      </w:r>
      <w:r w:rsidRPr="00C71F3E">
        <w:t>.</w:t>
      </w:r>
      <w:r>
        <w:t xml:space="preserve"> </w:t>
      </w:r>
    </w:p>
    <w:p w:rsidR="00F92A98" w:rsidRDefault="00BA2CAD"/>
    <w:sectPr w:rsidR="00F92A98" w:rsidSect="001C0BC5">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BA2CAD"/>
    <w:rsid w:val="001C0BC5"/>
    <w:rsid w:val="00794BDD"/>
    <w:rsid w:val="00A471EA"/>
    <w:rsid w:val="00BA2CA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2CAD"/>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314</Words>
  <Characters>1796</Characters>
  <Application>Microsoft Office Word</Application>
  <DocSecurity>0</DocSecurity>
  <Lines>14</Lines>
  <Paragraphs>4</Paragraphs>
  <ScaleCrop>false</ScaleCrop>
  <Company/>
  <LinksUpToDate>false</LinksUpToDate>
  <CharactersWithSpaces>2106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Manik</dc:creator>
  <cp:lastModifiedBy>Manik</cp:lastModifiedBy>
  <cp:revision>1</cp:revision>
  <dcterms:created xsi:type="dcterms:W3CDTF">2017-02-03T02:31:00Z</dcterms:created>
  <dcterms:modified xsi:type="dcterms:W3CDTF">2017-02-03T02:33:00Z</dcterms:modified>
</cp:coreProperties>
</file>